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8C"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Marble, Inc. manufactures a product that is available in both a flexible and a rigid model. The company has made the rigid model for years; the flexible model was introduced several years ago to tap a new segment of the market. Since introduction of the flexible model, the company’s profits have steadily declined, and management has become concerned about the accuracy of its costing system. Sales of the flexible model have been increasing rapidly. Overhead is applied to products on the basis of direct labor-hours.</w:t>
      </w:r>
    </w:p>
    <w:tbl>
      <w:tblPr>
        <w:tblStyle w:val="TableGrid"/>
        <w:tblW w:w="7671" w:type="dxa"/>
        <w:tblLook w:val="04A0" w:firstRow="1" w:lastRow="0" w:firstColumn="1" w:lastColumn="0" w:noHBand="0" w:noVBand="1"/>
      </w:tblPr>
      <w:tblGrid>
        <w:gridCol w:w="3849"/>
        <w:gridCol w:w="2138"/>
        <w:gridCol w:w="1684"/>
      </w:tblGrid>
      <w:tr w:rsidR="00487D8D" w:rsidRPr="00487D8D" w:rsidTr="00C5028B">
        <w:trPr>
          <w:trHeight w:val="264"/>
        </w:trPr>
        <w:tc>
          <w:tcPr>
            <w:tcW w:w="3849" w:type="dxa"/>
            <w:noWrap/>
            <w:hideMark/>
          </w:tcPr>
          <w:p w:rsidR="00487D8D" w:rsidRPr="00487D8D" w:rsidRDefault="00487D8D" w:rsidP="00487D8D">
            <w:pPr>
              <w:rPr>
                <w:rFonts w:ascii="Times New Roman" w:eastAsia="Times New Roman" w:hAnsi="Times New Roman" w:cs="Times New Roman"/>
                <w:sz w:val="24"/>
                <w:szCs w:val="24"/>
              </w:rPr>
            </w:pPr>
          </w:p>
        </w:tc>
        <w:tc>
          <w:tcPr>
            <w:tcW w:w="2138"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 xml:space="preserve">Flexible Model  </w:t>
            </w:r>
          </w:p>
        </w:tc>
        <w:tc>
          <w:tcPr>
            <w:tcW w:w="1684"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 xml:space="preserve">Rigid Model </w:t>
            </w:r>
          </w:p>
        </w:tc>
      </w:tr>
      <w:tr w:rsidR="00487D8D" w:rsidRPr="00487D8D" w:rsidTr="00C5028B">
        <w:trPr>
          <w:trHeight w:val="264"/>
        </w:trPr>
        <w:tc>
          <w:tcPr>
            <w:tcW w:w="3849"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Units to be produced and sold</w:t>
            </w:r>
          </w:p>
        </w:tc>
        <w:tc>
          <w:tcPr>
            <w:tcW w:w="2138"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1000</w:t>
            </w:r>
          </w:p>
        </w:tc>
        <w:tc>
          <w:tcPr>
            <w:tcW w:w="1684"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10000</w:t>
            </w:r>
          </w:p>
        </w:tc>
      </w:tr>
      <w:tr w:rsidR="00487D8D" w:rsidRPr="00487D8D" w:rsidTr="00C5028B">
        <w:trPr>
          <w:trHeight w:val="264"/>
        </w:trPr>
        <w:tc>
          <w:tcPr>
            <w:tcW w:w="3849"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 xml:space="preserve">direct labor hours per unit </w:t>
            </w:r>
          </w:p>
        </w:tc>
        <w:tc>
          <w:tcPr>
            <w:tcW w:w="2138"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2</w:t>
            </w:r>
          </w:p>
        </w:tc>
        <w:tc>
          <w:tcPr>
            <w:tcW w:w="1684"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1</w:t>
            </w:r>
          </w:p>
        </w:tc>
      </w:tr>
      <w:tr w:rsidR="00487D8D" w:rsidRPr="00487D8D" w:rsidTr="00C5028B">
        <w:trPr>
          <w:trHeight w:val="264"/>
        </w:trPr>
        <w:tc>
          <w:tcPr>
            <w:tcW w:w="3849"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 xml:space="preserve">Direct materials cost </w:t>
            </w:r>
          </w:p>
        </w:tc>
        <w:tc>
          <w:tcPr>
            <w:tcW w:w="2138"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$110.00</w:t>
            </w:r>
          </w:p>
        </w:tc>
        <w:tc>
          <w:tcPr>
            <w:tcW w:w="1684"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$80.00</w:t>
            </w:r>
          </w:p>
        </w:tc>
      </w:tr>
      <w:tr w:rsidR="00487D8D" w:rsidRPr="00487D8D" w:rsidTr="00C5028B">
        <w:trPr>
          <w:trHeight w:val="264"/>
        </w:trPr>
        <w:tc>
          <w:tcPr>
            <w:tcW w:w="3849" w:type="dxa"/>
            <w:noWrap/>
            <w:hideMark/>
          </w:tcPr>
          <w:p w:rsidR="00487D8D" w:rsidRPr="00487D8D" w:rsidRDefault="00487D8D" w:rsidP="00487D8D">
            <w:pPr>
              <w:rPr>
                <w:rFonts w:ascii="Calibri" w:eastAsia="Times New Roman" w:hAnsi="Calibri" w:cs="Calibri"/>
                <w:color w:val="000000"/>
              </w:rPr>
            </w:pPr>
            <w:r w:rsidRPr="00487D8D">
              <w:rPr>
                <w:rFonts w:ascii="Calibri" w:eastAsia="Times New Roman" w:hAnsi="Calibri" w:cs="Calibri"/>
                <w:color w:val="000000"/>
              </w:rPr>
              <w:t xml:space="preserve">Direct labor cost per unit </w:t>
            </w:r>
          </w:p>
        </w:tc>
        <w:tc>
          <w:tcPr>
            <w:tcW w:w="2138"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$30.00</w:t>
            </w:r>
          </w:p>
        </w:tc>
        <w:tc>
          <w:tcPr>
            <w:tcW w:w="1684" w:type="dxa"/>
            <w:noWrap/>
            <w:hideMark/>
          </w:tcPr>
          <w:p w:rsidR="00487D8D" w:rsidRPr="00487D8D" w:rsidRDefault="00487D8D" w:rsidP="00487D8D">
            <w:pPr>
              <w:jc w:val="right"/>
              <w:rPr>
                <w:rFonts w:ascii="Calibri" w:eastAsia="Times New Roman" w:hAnsi="Calibri" w:cs="Calibri"/>
                <w:color w:val="000000"/>
              </w:rPr>
            </w:pPr>
            <w:r w:rsidRPr="00487D8D">
              <w:rPr>
                <w:rFonts w:ascii="Calibri" w:eastAsia="Times New Roman" w:hAnsi="Calibri" w:cs="Calibri"/>
                <w:color w:val="000000"/>
              </w:rPr>
              <w:t>$15.00</w:t>
            </w:r>
          </w:p>
        </w:tc>
      </w:tr>
    </w:tbl>
    <w:p w:rsidR="00487D8D" w:rsidRDefault="00487D8D">
      <w:pPr>
        <w:rPr>
          <w:rFonts w:ascii="Helvetica" w:hAnsi="Helvetica" w:cs="Helvetica"/>
          <w:color w:val="1D1D1D"/>
          <w:sz w:val="21"/>
          <w:szCs w:val="21"/>
          <w:shd w:val="clear" w:color="auto" w:fill="FFFFFF"/>
        </w:rPr>
      </w:pPr>
    </w:p>
    <w:p w:rsidR="0086738C"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 At the beginning of the current year, management estimated that $600,000 in overhead costs would be incurred and the company would produce and sell 1,000 units of the flexible model and 10,000 units of the regular model. </w:t>
      </w:r>
    </w:p>
    <w:p w:rsidR="0086738C"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The flexible model requires 2 hours of direct labor time per unit, and the regular model requires 1 hour. </w:t>
      </w:r>
    </w:p>
    <w:p w:rsidR="00487D8D"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Direct materials and labor costs per unit are given below: Flexible Rigid Direct materials cost per unit………… $110.00 $80.00 Direct labor cost per unit…………</w:t>
      </w:r>
      <w:proofErr w:type="gramStart"/>
      <w:r>
        <w:rPr>
          <w:rFonts w:ascii="Helvetica" w:hAnsi="Helvetica" w:cs="Helvetica"/>
          <w:color w:val="1D1D1D"/>
          <w:sz w:val="21"/>
          <w:szCs w:val="21"/>
          <w:shd w:val="clear" w:color="auto" w:fill="FFFFFF"/>
        </w:rPr>
        <w:t>…..</w:t>
      </w:r>
      <w:proofErr w:type="gramEnd"/>
      <w:r>
        <w:rPr>
          <w:rFonts w:ascii="Helvetica" w:hAnsi="Helvetica" w:cs="Helvetica"/>
          <w:color w:val="1D1D1D"/>
          <w:sz w:val="21"/>
          <w:szCs w:val="21"/>
          <w:shd w:val="clear" w:color="auto" w:fill="FFFFFF"/>
        </w:rPr>
        <w:t xml:space="preserve"> $30.00 $15.00 </w:t>
      </w:r>
    </w:p>
    <w:p w:rsidR="00487D8D"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Required: (2 points) Compute the predetermined overhead rate using direct labor-hours as the basis for allocating overhead costs to products. Compute the unit product cost for one unit of each model. </w:t>
      </w:r>
    </w:p>
    <w:p w:rsidR="00487D8D" w:rsidRDefault="004C1A36">
      <w:pPr>
        <w:rPr>
          <w:rFonts w:ascii="Helvetica" w:eastAsiaTheme="minorEastAsia" w:hAnsi="Helvetica" w:cs="Helvetica"/>
          <w:color w:val="1D1D1D"/>
          <w:sz w:val="21"/>
          <w:szCs w:val="21"/>
          <w:shd w:val="clear" w:color="auto" w:fill="FFFFFF"/>
        </w:rPr>
      </w:pPr>
      <w:r>
        <w:rPr>
          <w:rFonts w:ascii="Helvetica" w:hAnsi="Helvetica" w:cs="Helvetica"/>
          <w:color w:val="1D1D1D"/>
          <w:sz w:val="21"/>
          <w:szCs w:val="21"/>
          <w:shd w:val="clear" w:color="auto" w:fill="FFFFFF"/>
        </w:rPr>
        <w:t>Predetermined overhead rate</w:t>
      </w:r>
      <w:r w:rsidR="00C5028B">
        <w:rPr>
          <w:rFonts w:ascii="Helvetica" w:hAnsi="Helvetica" w:cs="Helvetica"/>
          <w:color w:val="1D1D1D"/>
          <w:sz w:val="21"/>
          <w:szCs w:val="21"/>
          <w:shd w:val="clear" w:color="auto" w:fill="FFFFFF"/>
        </w:rPr>
        <w:t xml:space="preserve"> (POR) </w:t>
      </w:r>
      <w:r>
        <w:rPr>
          <w:rFonts w:ascii="Helvetica" w:hAnsi="Helvetica" w:cs="Helvetica"/>
          <w:color w:val="1D1D1D"/>
          <w:sz w:val="21"/>
          <w:szCs w:val="21"/>
          <w:shd w:val="clear" w:color="auto" w:fill="FFFFFF"/>
        </w:rPr>
        <w:t xml:space="preserve"> = </w:t>
      </w:r>
      <m:oMath>
        <m:f>
          <m:fPr>
            <m:ctrlPr>
              <w:rPr>
                <w:rFonts w:ascii="Cambria Math" w:hAnsi="Cambria Math" w:cs="Helvetica"/>
                <w:i/>
                <w:color w:val="1D1D1D"/>
                <w:sz w:val="21"/>
                <w:szCs w:val="21"/>
                <w:shd w:val="clear" w:color="auto" w:fill="FFFFFF"/>
              </w:rPr>
            </m:ctrlPr>
          </m:fPr>
          <m:num>
            <m:r>
              <w:rPr>
                <w:rFonts w:ascii="Cambria Math" w:hAnsi="Cambria Math" w:cs="Helvetica"/>
                <w:color w:val="1D1D1D"/>
                <w:sz w:val="21"/>
                <w:szCs w:val="21"/>
                <w:shd w:val="clear" w:color="auto" w:fill="FFFFFF"/>
              </w:rPr>
              <m:t xml:space="preserve">Budgeted overhead cost </m:t>
            </m:r>
          </m:num>
          <m:den>
            <m:r>
              <w:rPr>
                <w:rFonts w:ascii="Cambria Math" w:hAnsi="Cambria Math" w:cs="Helvetica"/>
                <w:color w:val="1D1D1D"/>
                <w:sz w:val="21"/>
                <w:szCs w:val="21"/>
                <w:shd w:val="clear" w:color="auto" w:fill="FFFFFF"/>
              </w:rPr>
              <m:t xml:space="preserve">Estimated units in the allocation base  </m:t>
            </m:r>
          </m:den>
        </m:f>
      </m:oMath>
    </w:p>
    <w:p w:rsidR="00D52762" w:rsidRDefault="00D52762">
      <w:pPr>
        <w:rPr>
          <w:rFonts w:ascii="Helvetica" w:eastAsiaTheme="minorEastAsia" w:hAnsi="Helvetica" w:cs="Helvetica"/>
          <w:color w:val="1D1D1D"/>
          <w:sz w:val="21"/>
          <w:szCs w:val="21"/>
          <w:shd w:val="clear" w:color="auto" w:fill="FFFFFF"/>
        </w:rPr>
      </w:pPr>
      <w:r>
        <w:rPr>
          <w:rFonts w:ascii="Helvetica" w:eastAsiaTheme="minorEastAsia" w:hAnsi="Helvetica" w:cs="Helvetica"/>
          <w:color w:val="1D1D1D"/>
          <w:sz w:val="21"/>
          <w:szCs w:val="21"/>
          <w:shd w:val="clear" w:color="auto" w:fill="FFFFFF"/>
        </w:rPr>
        <w:t xml:space="preserve">Estimated units in the allocation base = </w:t>
      </w:r>
      <w:r w:rsidR="004A3125">
        <w:rPr>
          <w:rFonts w:ascii="Helvetica" w:eastAsiaTheme="minorEastAsia" w:hAnsi="Helvetica" w:cs="Helvetica"/>
          <w:color w:val="1D1D1D"/>
          <w:sz w:val="21"/>
          <w:szCs w:val="21"/>
          <w:shd w:val="clear" w:color="auto" w:fill="FFFFFF"/>
        </w:rPr>
        <w:t>(</w:t>
      </w:r>
      <w:r>
        <w:rPr>
          <w:rFonts w:ascii="Helvetica" w:eastAsiaTheme="minorEastAsia" w:hAnsi="Helvetica" w:cs="Helvetica"/>
          <w:color w:val="1D1D1D"/>
          <w:sz w:val="21"/>
          <w:szCs w:val="21"/>
          <w:shd w:val="clear" w:color="auto" w:fill="FFFFFF"/>
        </w:rPr>
        <w:t xml:space="preserve">estimated units to produced be produced of the flexible model </w:t>
      </w:r>
      <w:r w:rsidR="00C5028B">
        <w:rPr>
          <w:rFonts w:ascii="Helvetica" w:eastAsiaTheme="minorEastAsia" w:hAnsi="Helvetica" w:cs="Helvetica"/>
          <w:color w:val="1D1D1D"/>
          <w:sz w:val="21"/>
          <w:szCs w:val="21"/>
          <w:shd w:val="clear" w:color="auto" w:fill="FFFFFF"/>
        </w:rPr>
        <w:t xml:space="preserve">x </w:t>
      </w:r>
      <w:r w:rsidR="004A3125">
        <w:rPr>
          <w:rFonts w:ascii="Helvetica" w:eastAsiaTheme="minorEastAsia" w:hAnsi="Helvetica" w:cs="Helvetica"/>
          <w:color w:val="1D1D1D"/>
          <w:sz w:val="21"/>
          <w:szCs w:val="21"/>
          <w:shd w:val="clear" w:color="auto" w:fill="FFFFFF"/>
        </w:rPr>
        <w:t xml:space="preserve">direct </w:t>
      </w:r>
      <w:r w:rsidR="00897750">
        <w:rPr>
          <w:rFonts w:ascii="Helvetica" w:eastAsiaTheme="minorEastAsia" w:hAnsi="Helvetica" w:cs="Helvetica"/>
          <w:color w:val="1D1D1D"/>
          <w:sz w:val="21"/>
          <w:szCs w:val="21"/>
          <w:shd w:val="clear" w:color="auto" w:fill="FFFFFF"/>
        </w:rPr>
        <w:t>labor</w:t>
      </w:r>
      <w:r w:rsidR="004A3125">
        <w:rPr>
          <w:rFonts w:ascii="Helvetica" w:eastAsiaTheme="minorEastAsia" w:hAnsi="Helvetica" w:cs="Helvetica"/>
          <w:color w:val="1D1D1D"/>
          <w:sz w:val="21"/>
          <w:szCs w:val="21"/>
          <w:shd w:val="clear" w:color="auto" w:fill="FFFFFF"/>
        </w:rPr>
        <w:t xml:space="preserve"> hours per unit of the flexible model) + (</w:t>
      </w:r>
      <w:r w:rsidR="004A3125">
        <w:rPr>
          <w:rFonts w:ascii="Helvetica" w:eastAsiaTheme="minorEastAsia" w:hAnsi="Helvetica" w:cs="Helvetica"/>
          <w:color w:val="1D1D1D"/>
          <w:sz w:val="21"/>
          <w:szCs w:val="21"/>
          <w:shd w:val="clear" w:color="auto" w:fill="FFFFFF"/>
        </w:rPr>
        <w:t xml:space="preserve">estimated units to produced be produced of the </w:t>
      </w:r>
      <w:r w:rsidR="00C5028B">
        <w:rPr>
          <w:rFonts w:ascii="Helvetica" w:eastAsiaTheme="minorEastAsia" w:hAnsi="Helvetica" w:cs="Helvetica"/>
          <w:color w:val="1D1D1D"/>
          <w:sz w:val="21"/>
          <w:szCs w:val="21"/>
          <w:shd w:val="clear" w:color="auto" w:fill="FFFFFF"/>
        </w:rPr>
        <w:t>rigid</w:t>
      </w:r>
      <w:r w:rsidR="004A3125">
        <w:rPr>
          <w:rFonts w:ascii="Helvetica" w:eastAsiaTheme="minorEastAsia" w:hAnsi="Helvetica" w:cs="Helvetica"/>
          <w:color w:val="1D1D1D"/>
          <w:sz w:val="21"/>
          <w:szCs w:val="21"/>
          <w:shd w:val="clear" w:color="auto" w:fill="FFFFFF"/>
        </w:rPr>
        <w:t xml:space="preserve"> model </w:t>
      </w:r>
      <w:proofErr w:type="gramStart"/>
      <w:r w:rsidR="00C5028B">
        <w:rPr>
          <w:rFonts w:ascii="Helvetica" w:eastAsiaTheme="minorEastAsia" w:hAnsi="Helvetica" w:cs="Helvetica"/>
          <w:color w:val="1D1D1D"/>
          <w:sz w:val="21"/>
          <w:szCs w:val="21"/>
          <w:shd w:val="clear" w:color="auto" w:fill="FFFFFF"/>
        </w:rPr>
        <w:t xml:space="preserve">x </w:t>
      </w:r>
      <w:r w:rsidR="004A3125">
        <w:rPr>
          <w:rFonts w:ascii="Helvetica" w:eastAsiaTheme="minorEastAsia" w:hAnsi="Helvetica" w:cs="Helvetica"/>
          <w:color w:val="1D1D1D"/>
          <w:sz w:val="21"/>
          <w:szCs w:val="21"/>
          <w:shd w:val="clear" w:color="auto" w:fill="FFFFFF"/>
        </w:rPr>
        <w:t xml:space="preserve"> direct</w:t>
      </w:r>
      <w:proofErr w:type="gramEnd"/>
      <w:r w:rsidR="004A3125">
        <w:rPr>
          <w:rFonts w:ascii="Helvetica" w:eastAsiaTheme="minorEastAsia" w:hAnsi="Helvetica" w:cs="Helvetica"/>
          <w:color w:val="1D1D1D"/>
          <w:sz w:val="21"/>
          <w:szCs w:val="21"/>
          <w:shd w:val="clear" w:color="auto" w:fill="FFFFFF"/>
        </w:rPr>
        <w:t xml:space="preserve"> </w:t>
      </w:r>
      <w:r w:rsidR="00897750">
        <w:rPr>
          <w:rFonts w:ascii="Helvetica" w:eastAsiaTheme="minorEastAsia" w:hAnsi="Helvetica" w:cs="Helvetica"/>
          <w:color w:val="1D1D1D"/>
          <w:sz w:val="21"/>
          <w:szCs w:val="21"/>
          <w:shd w:val="clear" w:color="auto" w:fill="FFFFFF"/>
        </w:rPr>
        <w:t>labor</w:t>
      </w:r>
      <w:r w:rsidR="004A3125">
        <w:rPr>
          <w:rFonts w:ascii="Helvetica" w:eastAsiaTheme="minorEastAsia" w:hAnsi="Helvetica" w:cs="Helvetica"/>
          <w:color w:val="1D1D1D"/>
          <w:sz w:val="21"/>
          <w:szCs w:val="21"/>
          <w:shd w:val="clear" w:color="auto" w:fill="FFFFFF"/>
        </w:rPr>
        <w:t xml:space="preserve"> hours per unit of the </w:t>
      </w:r>
      <w:r w:rsidR="00C5028B">
        <w:rPr>
          <w:rFonts w:ascii="Helvetica" w:eastAsiaTheme="minorEastAsia" w:hAnsi="Helvetica" w:cs="Helvetica"/>
          <w:color w:val="1D1D1D"/>
          <w:sz w:val="21"/>
          <w:szCs w:val="21"/>
          <w:shd w:val="clear" w:color="auto" w:fill="FFFFFF"/>
        </w:rPr>
        <w:t>rigid</w:t>
      </w:r>
      <w:r w:rsidR="004A3125">
        <w:rPr>
          <w:rFonts w:ascii="Helvetica" w:eastAsiaTheme="minorEastAsia" w:hAnsi="Helvetica" w:cs="Helvetica"/>
          <w:color w:val="1D1D1D"/>
          <w:sz w:val="21"/>
          <w:szCs w:val="21"/>
          <w:shd w:val="clear" w:color="auto" w:fill="FFFFFF"/>
        </w:rPr>
        <w:t xml:space="preserve"> model</w:t>
      </w:r>
      <w:r w:rsidR="00C5028B">
        <w:rPr>
          <w:rFonts w:ascii="Helvetica" w:eastAsiaTheme="minorEastAsia" w:hAnsi="Helvetica" w:cs="Helvetica"/>
          <w:color w:val="1D1D1D"/>
          <w:sz w:val="21"/>
          <w:szCs w:val="21"/>
          <w:shd w:val="clear" w:color="auto" w:fill="FFFFFF"/>
        </w:rPr>
        <w:t xml:space="preserve">)  </w:t>
      </w:r>
    </w:p>
    <w:p w:rsidR="00C5028B" w:rsidRDefault="00C5028B">
      <w:pPr>
        <w:rPr>
          <w:rFonts w:ascii="Helvetica" w:eastAsiaTheme="minorEastAsia" w:hAnsi="Helvetica" w:cs="Helvetica"/>
          <w:color w:val="1D1D1D"/>
          <w:sz w:val="21"/>
          <w:szCs w:val="21"/>
          <w:shd w:val="clear" w:color="auto" w:fill="FFFFFF"/>
        </w:rPr>
      </w:pPr>
      <w:r>
        <w:rPr>
          <w:rFonts w:ascii="Helvetica" w:eastAsiaTheme="minorEastAsia" w:hAnsi="Helvetica" w:cs="Helvetica"/>
          <w:color w:val="1D1D1D"/>
          <w:sz w:val="21"/>
          <w:szCs w:val="21"/>
          <w:shd w:val="clear" w:color="auto" w:fill="FFFFFF"/>
        </w:rPr>
        <w:t xml:space="preserve">                                                           = (1000 x 2) +(10000 x1) </w:t>
      </w:r>
    </w:p>
    <w:p w:rsidR="00C5028B" w:rsidRDefault="00C5028B">
      <w:pPr>
        <w:rPr>
          <w:rFonts w:ascii="Helvetica" w:eastAsiaTheme="minorEastAsia" w:hAnsi="Helvetica" w:cs="Helvetica"/>
          <w:color w:val="1D1D1D"/>
          <w:sz w:val="21"/>
          <w:szCs w:val="21"/>
          <w:shd w:val="clear" w:color="auto" w:fill="FFFFFF"/>
        </w:rPr>
      </w:pPr>
      <w:r>
        <w:rPr>
          <w:rFonts w:ascii="Helvetica" w:eastAsiaTheme="minorEastAsia" w:hAnsi="Helvetica" w:cs="Helvetica"/>
          <w:color w:val="1D1D1D"/>
          <w:sz w:val="21"/>
          <w:szCs w:val="21"/>
          <w:shd w:val="clear" w:color="auto" w:fill="FFFFFF"/>
        </w:rPr>
        <w:t xml:space="preserve">                                                           = 12000 hours </w:t>
      </w:r>
    </w:p>
    <w:p w:rsidR="00C5028B" w:rsidRDefault="00C5028B" w:rsidP="00CB28F7">
      <w:pPr>
        <w:tabs>
          <w:tab w:val="left" w:pos="3270"/>
        </w:tabs>
        <w:rPr>
          <w:rFonts w:ascii="Helvetica" w:eastAsiaTheme="minorEastAsia" w:hAnsi="Helvetica" w:cs="Helvetica"/>
          <w:color w:val="1D1D1D"/>
          <w:sz w:val="21"/>
          <w:szCs w:val="21"/>
          <w:shd w:val="clear" w:color="auto" w:fill="FFFFFF"/>
        </w:rPr>
      </w:pPr>
      <w:r>
        <w:rPr>
          <w:rFonts w:ascii="Helvetica" w:eastAsiaTheme="minorEastAsia" w:hAnsi="Helvetica" w:cs="Helvetica"/>
          <w:color w:val="1D1D1D"/>
          <w:sz w:val="21"/>
          <w:szCs w:val="21"/>
          <w:shd w:val="clear" w:color="auto" w:fill="FFFFFF"/>
        </w:rPr>
        <w:t xml:space="preserve">POR = </w:t>
      </w:r>
      <m:oMath>
        <m:f>
          <m:fPr>
            <m:ctrlPr>
              <w:rPr>
                <w:rFonts w:ascii="Cambria Math" w:eastAsiaTheme="minorEastAsia" w:hAnsi="Cambria Math" w:cs="Helvetica"/>
                <w:i/>
                <w:color w:val="1D1D1D"/>
                <w:sz w:val="21"/>
                <w:szCs w:val="21"/>
                <w:shd w:val="clear" w:color="auto" w:fill="FFFFFF"/>
              </w:rPr>
            </m:ctrlPr>
          </m:fPr>
          <m:num>
            <m:r>
              <w:rPr>
                <w:rFonts w:ascii="Cambria Math" w:eastAsiaTheme="minorEastAsia" w:hAnsi="Cambria Math" w:cs="Helvetica"/>
                <w:color w:val="1D1D1D"/>
                <w:sz w:val="21"/>
                <w:szCs w:val="21"/>
                <w:shd w:val="clear" w:color="auto" w:fill="FFFFFF"/>
              </w:rPr>
              <m:t>$600000</m:t>
            </m:r>
          </m:num>
          <m:den>
            <m:r>
              <w:rPr>
                <w:rFonts w:ascii="Cambria Math" w:eastAsiaTheme="minorEastAsia" w:hAnsi="Cambria Math" w:cs="Helvetica"/>
                <w:color w:val="1D1D1D"/>
                <w:sz w:val="21"/>
                <w:szCs w:val="21"/>
                <w:shd w:val="clear" w:color="auto" w:fill="FFFFFF"/>
              </w:rPr>
              <m:t xml:space="preserve">12000 direct labour hours </m:t>
            </m:r>
          </m:den>
        </m:f>
        <m:r>
          <w:rPr>
            <w:rFonts w:ascii="Cambria Math" w:eastAsiaTheme="minorEastAsia" w:hAnsi="Cambria Math" w:cs="Helvetica"/>
            <w:color w:val="1D1D1D"/>
            <w:sz w:val="21"/>
            <w:szCs w:val="21"/>
            <w:shd w:val="clear" w:color="auto" w:fill="FFFFFF"/>
          </w:rPr>
          <w:tab/>
        </m:r>
      </m:oMath>
    </w:p>
    <w:p w:rsidR="00CB28F7" w:rsidRDefault="00CB28F7" w:rsidP="00CB28F7">
      <w:pPr>
        <w:tabs>
          <w:tab w:val="left" w:pos="3270"/>
        </w:tabs>
        <w:rPr>
          <w:rFonts w:ascii="Helvetica" w:eastAsiaTheme="minorEastAsia" w:hAnsi="Helvetica" w:cs="Helvetica"/>
          <w:color w:val="1D1D1D"/>
          <w:sz w:val="21"/>
          <w:szCs w:val="21"/>
          <w:shd w:val="clear" w:color="auto" w:fill="FFFFFF"/>
        </w:rPr>
      </w:pPr>
      <w:r>
        <w:rPr>
          <w:rFonts w:ascii="Helvetica" w:eastAsiaTheme="minorEastAsia" w:hAnsi="Helvetica" w:cs="Helvetica"/>
          <w:color w:val="1D1D1D"/>
          <w:sz w:val="21"/>
          <w:szCs w:val="21"/>
          <w:shd w:val="clear" w:color="auto" w:fill="FFFFFF"/>
        </w:rPr>
        <w:t xml:space="preserve">         = $50 </w:t>
      </w:r>
    </w:p>
    <w:p w:rsidR="00CB28F7" w:rsidRDefault="00CB28F7" w:rsidP="00CB28F7">
      <w:pPr>
        <w:tabs>
          <w:tab w:val="left" w:pos="3270"/>
        </w:tabs>
        <w:rPr>
          <w:rFonts w:ascii="Helvetica" w:eastAsiaTheme="minorEastAsia" w:hAnsi="Helvetica" w:cs="Helvetica"/>
          <w:color w:val="1D1D1D"/>
          <w:sz w:val="21"/>
          <w:szCs w:val="21"/>
          <w:shd w:val="clear" w:color="auto" w:fill="FFFFFF"/>
        </w:rPr>
      </w:pPr>
    </w:p>
    <w:tbl>
      <w:tblPr>
        <w:tblStyle w:val="TableGrid"/>
        <w:tblW w:w="6925" w:type="dxa"/>
        <w:jc w:val="center"/>
        <w:tblLook w:val="04A0" w:firstRow="1" w:lastRow="0" w:firstColumn="1" w:lastColumn="0" w:noHBand="0" w:noVBand="1"/>
      </w:tblPr>
      <w:tblGrid>
        <w:gridCol w:w="3620"/>
        <w:gridCol w:w="1600"/>
        <w:gridCol w:w="1705"/>
      </w:tblGrid>
      <w:tr w:rsidR="00897750" w:rsidRPr="00897750" w:rsidTr="00897750">
        <w:trPr>
          <w:trHeight w:val="300"/>
          <w:jc w:val="center"/>
        </w:trPr>
        <w:tc>
          <w:tcPr>
            <w:tcW w:w="3620" w:type="dxa"/>
            <w:noWrap/>
            <w:hideMark/>
          </w:tcPr>
          <w:p w:rsidR="00897750" w:rsidRPr="00897750" w:rsidRDefault="00897750" w:rsidP="00897750">
            <w:pPr>
              <w:rPr>
                <w:rFonts w:ascii="Times New Roman" w:eastAsia="Times New Roman" w:hAnsi="Times New Roman" w:cs="Times New Roman"/>
                <w:sz w:val="24"/>
                <w:szCs w:val="24"/>
              </w:rPr>
            </w:pPr>
          </w:p>
        </w:tc>
        <w:tc>
          <w:tcPr>
            <w:tcW w:w="160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Flexible Model </w:t>
            </w:r>
          </w:p>
        </w:tc>
        <w:tc>
          <w:tcPr>
            <w:tcW w:w="1705"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Rigid Model </w:t>
            </w: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Overhead cost per direct labor hours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 xml:space="preserve">$50 </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 xml:space="preserve">$50 </w:t>
            </w: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Direct labor hours per unit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2</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1</w:t>
            </w:r>
          </w:p>
        </w:tc>
      </w:tr>
      <w:tr w:rsidR="00897750" w:rsidRPr="00897750" w:rsidTr="00897750">
        <w:trPr>
          <w:trHeight w:val="300"/>
          <w:jc w:val="center"/>
        </w:trPr>
        <w:tc>
          <w:tcPr>
            <w:tcW w:w="3620" w:type="dxa"/>
            <w:noWrap/>
            <w:hideMark/>
          </w:tcPr>
          <w:p w:rsidR="00897750" w:rsidRPr="00897750" w:rsidRDefault="00897750" w:rsidP="00897750">
            <w:pPr>
              <w:jc w:val="right"/>
              <w:rPr>
                <w:rFonts w:ascii="Calibri" w:eastAsia="Times New Roman" w:hAnsi="Calibri" w:cs="Calibri"/>
                <w:color w:val="000000"/>
              </w:rPr>
            </w:pPr>
          </w:p>
        </w:tc>
        <w:tc>
          <w:tcPr>
            <w:tcW w:w="1600" w:type="dxa"/>
            <w:noWrap/>
            <w:hideMark/>
          </w:tcPr>
          <w:p w:rsidR="00897750" w:rsidRPr="00897750" w:rsidRDefault="00897750" w:rsidP="00897750">
            <w:pPr>
              <w:rPr>
                <w:rFonts w:ascii="Times New Roman" w:eastAsia="Times New Roman" w:hAnsi="Times New Roman" w:cs="Times New Roman"/>
                <w:sz w:val="20"/>
                <w:szCs w:val="20"/>
              </w:rPr>
            </w:pPr>
          </w:p>
        </w:tc>
        <w:tc>
          <w:tcPr>
            <w:tcW w:w="1705" w:type="dxa"/>
            <w:noWrap/>
            <w:hideMark/>
          </w:tcPr>
          <w:p w:rsidR="00897750" w:rsidRPr="00897750" w:rsidRDefault="00897750" w:rsidP="00897750">
            <w:pPr>
              <w:rPr>
                <w:rFonts w:ascii="Times New Roman" w:eastAsia="Times New Roman" w:hAnsi="Times New Roman" w:cs="Times New Roman"/>
                <w:sz w:val="20"/>
                <w:szCs w:val="20"/>
              </w:rPr>
            </w:pP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Overhead cost per unit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$100.00</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$50.00</w:t>
            </w: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Direct materials cost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$110.00</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$80.00</w:t>
            </w: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t xml:space="preserve">Direct labor cost per unit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$30.00</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$15.00</w:t>
            </w:r>
          </w:p>
        </w:tc>
      </w:tr>
      <w:tr w:rsidR="00897750" w:rsidRPr="00897750" w:rsidTr="00897750">
        <w:trPr>
          <w:trHeight w:val="300"/>
          <w:jc w:val="center"/>
        </w:trPr>
        <w:tc>
          <w:tcPr>
            <w:tcW w:w="3620" w:type="dxa"/>
            <w:noWrap/>
            <w:hideMark/>
          </w:tcPr>
          <w:p w:rsidR="00897750" w:rsidRPr="00897750" w:rsidRDefault="00897750" w:rsidP="00897750">
            <w:pPr>
              <w:jc w:val="right"/>
              <w:rPr>
                <w:rFonts w:ascii="Calibri" w:eastAsia="Times New Roman" w:hAnsi="Calibri" w:cs="Calibri"/>
                <w:color w:val="000000"/>
              </w:rPr>
            </w:pPr>
          </w:p>
        </w:tc>
        <w:tc>
          <w:tcPr>
            <w:tcW w:w="1600" w:type="dxa"/>
            <w:noWrap/>
            <w:hideMark/>
          </w:tcPr>
          <w:p w:rsidR="00897750" w:rsidRPr="00897750" w:rsidRDefault="00897750" w:rsidP="00897750">
            <w:pPr>
              <w:rPr>
                <w:rFonts w:ascii="Times New Roman" w:eastAsia="Times New Roman" w:hAnsi="Times New Roman" w:cs="Times New Roman"/>
                <w:sz w:val="20"/>
                <w:szCs w:val="20"/>
              </w:rPr>
            </w:pPr>
          </w:p>
        </w:tc>
        <w:tc>
          <w:tcPr>
            <w:tcW w:w="1705" w:type="dxa"/>
            <w:noWrap/>
            <w:hideMark/>
          </w:tcPr>
          <w:p w:rsidR="00897750" w:rsidRPr="00897750" w:rsidRDefault="00897750" w:rsidP="00897750">
            <w:pPr>
              <w:rPr>
                <w:rFonts w:ascii="Times New Roman" w:eastAsia="Times New Roman" w:hAnsi="Times New Roman" w:cs="Times New Roman"/>
                <w:sz w:val="20"/>
                <w:szCs w:val="20"/>
              </w:rPr>
            </w:pPr>
          </w:p>
        </w:tc>
      </w:tr>
      <w:tr w:rsidR="00897750" w:rsidRPr="00897750" w:rsidTr="00897750">
        <w:trPr>
          <w:trHeight w:val="300"/>
          <w:jc w:val="center"/>
        </w:trPr>
        <w:tc>
          <w:tcPr>
            <w:tcW w:w="3620" w:type="dxa"/>
            <w:noWrap/>
            <w:hideMark/>
          </w:tcPr>
          <w:p w:rsidR="00897750" w:rsidRPr="00897750" w:rsidRDefault="00897750" w:rsidP="00897750">
            <w:pPr>
              <w:rPr>
                <w:rFonts w:ascii="Calibri" w:eastAsia="Times New Roman" w:hAnsi="Calibri" w:cs="Calibri"/>
                <w:color w:val="000000"/>
              </w:rPr>
            </w:pPr>
            <w:r w:rsidRPr="00897750">
              <w:rPr>
                <w:rFonts w:ascii="Calibri" w:eastAsia="Times New Roman" w:hAnsi="Calibri" w:cs="Calibri"/>
                <w:color w:val="000000"/>
              </w:rPr>
              <w:lastRenderedPageBreak/>
              <w:t xml:space="preserve">Unit cost </w:t>
            </w:r>
          </w:p>
        </w:tc>
        <w:tc>
          <w:tcPr>
            <w:tcW w:w="1600"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$240.00</w:t>
            </w:r>
          </w:p>
        </w:tc>
        <w:tc>
          <w:tcPr>
            <w:tcW w:w="1705" w:type="dxa"/>
            <w:noWrap/>
            <w:hideMark/>
          </w:tcPr>
          <w:p w:rsidR="00897750" w:rsidRPr="00897750" w:rsidRDefault="00897750" w:rsidP="00897750">
            <w:pPr>
              <w:jc w:val="right"/>
              <w:rPr>
                <w:rFonts w:ascii="Calibri" w:eastAsia="Times New Roman" w:hAnsi="Calibri" w:cs="Calibri"/>
                <w:color w:val="000000"/>
              </w:rPr>
            </w:pPr>
            <w:r w:rsidRPr="00897750">
              <w:rPr>
                <w:rFonts w:ascii="Calibri" w:eastAsia="Times New Roman" w:hAnsi="Calibri" w:cs="Calibri"/>
                <w:color w:val="000000"/>
              </w:rPr>
              <w:t>$145.00</w:t>
            </w:r>
          </w:p>
        </w:tc>
      </w:tr>
    </w:tbl>
    <w:p w:rsidR="00A91E6A" w:rsidRDefault="00A91E6A" w:rsidP="00CB28F7">
      <w:pPr>
        <w:tabs>
          <w:tab w:val="left" w:pos="3270"/>
        </w:tabs>
        <w:rPr>
          <w:rFonts w:ascii="Helvetica" w:hAnsi="Helvetica" w:cs="Helvetica"/>
          <w:color w:val="1D1D1D"/>
          <w:sz w:val="21"/>
          <w:szCs w:val="21"/>
          <w:shd w:val="clear" w:color="auto" w:fill="FFFFFF"/>
        </w:rPr>
      </w:pPr>
    </w:p>
    <w:p w:rsidR="00487D8D" w:rsidRDefault="00487D8D">
      <w:pPr>
        <w:rPr>
          <w:rFonts w:ascii="Helvetica" w:hAnsi="Helvetica" w:cs="Helvetica"/>
          <w:color w:val="1D1D1D"/>
          <w:sz w:val="21"/>
          <w:szCs w:val="21"/>
          <w:shd w:val="clear" w:color="auto" w:fill="FFFFFF"/>
        </w:rPr>
      </w:pPr>
    </w:p>
    <w:p w:rsidR="00056DC9" w:rsidRDefault="0086738C">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(2 points) An intern suggested that the company use activity-based costing to cost its products. A team was formed to investigate this idea. It came back with the recommendation that four activity cost pools be used. These cost pools and their associated activities are listed as follows: Estimated Expected Activity </w:t>
      </w:r>
      <w:proofErr w:type="spellStart"/>
      <w:r>
        <w:rPr>
          <w:rFonts w:ascii="Helvetica" w:hAnsi="Helvetica" w:cs="Helvetica"/>
          <w:color w:val="1D1D1D"/>
          <w:sz w:val="21"/>
          <w:szCs w:val="21"/>
          <w:shd w:val="clear" w:color="auto" w:fill="FFFFFF"/>
        </w:rPr>
        <w:t>Activity</w:t>
      </w:r>
      <w:proofErr w:type="spellEnd"/>
      <w:r>
        <w:rPr>
          <w:rFonts w:ascii="Helvetica" w:hAnsi="Helvetica" w:cs="Helvetica"/>
          <w:color w:val="1D1D1D"/>
          <w:sz w:val="21"/>
          <w:szCs w:val="21"/>
          <w:shd w:val="clear" w:color="auto" w:fill="FFFFFF"/>
        </w:rPr>
        <w:t xml:space="preserve"> Cost Pool and </w:t>
      </w:r>
      <w:r w:rsidRPr="00626A79">
        <w:rPr>
          <w:rFonts w:ascii="Helvetica" w:hAnsi="Helvetica" w:cs="Helvetica"/>
          <w:color w:val="1D1D1D"/>
          <w:sz w:val="21"/>
          <w:szCs w:val="21"/>
          <w:highlight w:val="yellow"/>
          <w:shd w:val="clear" w:color="auto" w:fill="FFFFFF"/>
        </w:rPr>
        <w:t xml:space="preserve">Activity Measure Overhead Cost Flexible Rigid Total Purchase orders (number of </w:t>
      </w:r>
      <w:proofErr w:type="gramStart"/>
      <w:r w:rsidRPr="00626A79">
        <w:rPr>
          <w:rFonts w:ascii="Helvetica" w:hAnsi="Helvetica" w:cs="Helvetica"/>
          <w:color w:val="1D1D1D"/>
          <w:sz w:val="21"/>
          <w:szCs w:val="21"/>
          <w:highlight w:val="yellow"/>
          <w:shd w:val="clear" w:color="auto" w:fill="FFFFFF"/>
        </w:rPr>
        <w:t>orders)…</w:t>
      </w:r>
      <w:proofErr w:type="gramEnd"/>
      <w:r w:rsidRPr="00626A79">
        <w:rPr>
          <w:rFonts w:ascii="Helvetica" w:hAnsi="Helvetica" w:cs="Helvetica"/>
          <w:color w:val="1D1D1D"/>
          <w:sz w:val="21"/>
          <w:szCs w:val="21"/>
          <w:highlight w:val="yellow"/>
          <w:shd w:val="clear" w:color="auto" w:fill="FFFFFF"/>
        </w:rPr>
        <w:t>…… $ 20,000 100 300 400 Rework requests (number of requests)…... 10,000 60 140 200 Product testing (number of tests)………… 210,000 900 1,200 2,100 Machine related (machine-hours)………... 360,000 1,500 2,500 4,000 $600,000 Compute</w:t>
      </w:r>
      <w:bookmarkStart w:id="0" w:name="_GoBack"/>
      <w:bookmarkEnd w:id="0"/>
      <w:r>
        <w:rPr>
          <w:rFonts w:ascii="Helvetica" w:hAnsi="Helvetica" w:cs="Helvetica"/>
          <w:color w:val="1D1D1D"/>
          <w:sz w:val="21"/>
          <w:szCs w:val="21"/>
          <w:shd w:val="clear" w:color="auto" w:fill="FFFFFF"/>
        </w:rPr>
        <w:t xml:space="preserve"> the activity rate for each of the activity cost pools. Using activity-based costing, do the following: (2 points) Determine the total amount of overhead that would be assigned to each model for the year. (2 points) Compute the unit product cost for one unit of each model.</w:t>
      </w:r>
    </w:p>
    <w:p w:rsidR="002C1EA1" w:rsidRDefault="0086738C">
      <w:r>
        <w:rPr>
          <w:rFonts w:ascii="Helvetica" w:hAnsi="Helvetica" w:cs="Helvetica"/>
          <w:color w:val="1D1D1D"/>
          <w:sz w:val="21"/>
          <w:szCs w:val="21"/>
          <w:shd w:val="clear" w:color="auto" w:fill="FFFFFF"/>
        </w:rPr>
        <w:t xml:space="preserve"> (2 points) Identify a possible explanation for the company’s declining profit based on an analysis of your results from requirements 1-3.</w:t>
      </w:r>
    </w:p>
    <w:sectPr w:rsidR="002C1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C"/>
    <w:rsid w:val="00056DC9"/>
    <w:rsid w:val="0012239A"/>
    <w:rsid w:val="00487D8D"/>
    <w:rsid w:val="004A3125"/>
    <w:rsid w:val="004C1A36"/>
    <w:rsid w:val="00626A79"/>
    <w:rsid w:val="00747634"/>
    <w:rsid w:val="0086738C"/>
    <w:rsid w:val="00897750"/>
    <w:rsid w:val="00A91E6A"/>
    <w:rsid w:val="00C5028B"/>
    <w:rsid w:val="00CB28F7"/>
    <w:rsid w:val="00D5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3EFB"/>
  <w15:chartTrackingRefBased/>
  <w15:docId w15:val="{3E20162E-2339-4D1E-9588-68C35C1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27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1303">
      <w:bodyDiv w:val="1"/>
      <w:marLeft w:val="0"/>
      <w:marRight w:val="0"/>
      <w:marTop w:val="0"/>
      <w:marBottom w:val="0"/>
      <w:divBdr>
        <w:top w:val="none" w:sz="0" w:space="0" w:color="auto"/>
        <w:left w:val="none" w:sz="0" w:space="0" w:color="auto"/>
        <w:bottom w:val="none" w:sz="0" w:space="0" w:color="auto"/>
        <w:right w:val="none" w:sz="0" w:space="0" w:color="auto"/>
      </w:divBdr>
    </w:div>
    <w:div w:id="6956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Mozart</dc:creator>
  <cp:keywords/>
  <dc:description/>
  <cp:lastModifiedBy>Erick Mozart</cp:lastModifiedBy>
  <cp:revision>3</cp:revision>
  <dcterms:created xsi:type="dcterms:W3CDTF">2021-03-27T15:05:00Z</dcterms:created>
  <dcterms:modified xsi:type="dcterms:W3CDTF">2021-03-27T15:52:00Z</dcterms:modified>
</cp:coreProperties>
</file>